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附件1：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44"/>
          <w:szCs w:val="44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44"/>
          <w:szCs w:val="44"/>
          <w:rFonts w:ascii="Calibri" w:eastAsia="宋体" w:hAnsi="宋体" w:hint="default"/>
        </w:rPr>
        <w:t>2017年度新疆乌鲁木齐市沙依巴克区工商</w:t>
      </w:r>
      <w:r>
        <w:rPr>
          <w:b w:val="1"/>
          <w:color w:val="auto"/>
          <w:position w:val="0"/>
          <w:sz w:val="44"/>
          <w:szCs w:val="44"/>
          <w:rFonts w:ascii="Calibri" w:eastAsia="宋体" w:hAnsi="宋体" w:hint="default"/>
        </w:rPr>
        <w:t>业联合会部门决算公开说明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36"/>
          <w:szCs w:val="36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6"/>
          <w:szCs w:val="36"/>
          <w:rFonts w:ascii="Calibri" w:eastAsia="宋体" w:hAnsi="宋体" w:hint="default"/>
        </w:rPr>
        <w:t>目录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36"/>
          <w:szCs w:val="36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63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第一部分部门单位概况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一、主要职能、机构设置及人员情况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二、部门决算单位构成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63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第二部分部门决算情况说明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一、部门收支总体情况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（一）部门收入支出决算总体情况说明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（二）部门收入总体情况说明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（三）部门支出总体情况说明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二、部门财政拨款收支情况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（一）财政拨款收支总体情况说明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（二）一般公共预算支出决算情况说明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（三）政府性基金预算收支决算情况说明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（四）政府性基金预算支出决算情况说明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三、部门结转结余情况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四、一般公共预算“三公”经费支出情况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五、机关运行经费支出情况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六、政府采购情况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七、其他重要事项的情况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（一）国有资产占用情况说明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（二）国有资产收益征缴情况说明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（三）部门项目支出情况和项目绩效评价情况说明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63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第三部分专业名词解释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63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第四部分部门决算报表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一、报表封面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二、部门收支总体情况（11张）：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《收入支出决算总表》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《收入决算表》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《行政事业类项目收入支出决算表》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《基本建设类项目收入支出决算表》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《项目支出决算明细表》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《财政专户管理资金收入支出决算表》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三、财政拨款收支情况（9张）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《财政拨款收入支出决算总表》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《一般公共预算财政拨款收入支出决算表》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《一般公共预算财政拨款支出决算明细表》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《一般公共预算财政拨款基本支出决算明细表》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《一般公共预算财政拨款项目支出决算明细表》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《政府性基金预算财政拨款收入支出决算表》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《政府性基金预算财政拨款支出决算明细表》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《政府性基金预算财政拨款基本支出决算明细表》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《政府性基金预算财政拨款项目支出决算明细表》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四、单位资产负责情况（1张）：《资产负债简表》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五、部门决算附表（5张）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《资产情况表》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《国有资产收益征缴情况表》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《基本数字表》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《机构人员情况表》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《非税收入征缴情况表》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六、填报说明附表（2张）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《部门决算相关信息统计表》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《政府采购情况表》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七、“三公”经费支出情况(1张)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《2017年度一般公共预算“三公”经费支出情况表》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第一部分部门单位概况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600" w:before="0" w:after="0"/>
        <w:ind w:right="0" w:left="0" w:firstLine="549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一、部门单位基本情况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600" w:before="0" w:after="0"/>
        <w:ind w:right="0" w:left="0" w:firstLine="549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1、人员及车辆基本情况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600" w:before="0" w:after="0"/>
        <w:ind w:left="160" w:right="0" w:firstLine="448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2017年本单位财政供养人员共计3人，其中：在职人员3人。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单位车辆总数1辆（其中：一般公务用车1辆）。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600" w:before="0" w:after="0"/>
        <w:ind w:right="0" w:left="0" w:firstLine="588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2、单位性质、机构设置和部门主要职能</w:t>
      </w:r>
    </w:p>
    <w:p>
      <w:pPr>
        <w:numPr>
          <w:ilvl w:val="0"/>
          <w:numId w:val="0"/>
        </w:numPr>
        <w:jc w:val="left"/>
        <w:shd w:val="clear" w:color="000000" w:fill="FFFFFF"/>
        <w:spacing w:lineRule="exact" w:line="600" w:before="0" w:after="0"/>
        <w:ind w:right="0" w:left="0" w:firstLine="588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工商联性质为行政单位，工商联的主要职能是:参与国家大政方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针及政治、经济、社会生活中的重要问题的政治协商，参政议政，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民主监督；引导会员积极参加国家经济建设，推动社会主义市场经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济体制逐步完善，促进社会全面进步；做工商界代表人士政治安排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的推荐工作；在非公有制人士中，宣传、贯彻党和国家的方针政策，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加强思想政治工作，推动企业文化建设，引导会员做中国特色社会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主义事业的建设者；代表并维护会员的合法权益，反映会员的意见、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要求和建议；引导会员积极参与“光彩事业”；为会员提供信息和科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技、管理、法律、会计、审计、融资、咨询等服务；开展工商专业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培训，帮助会员改进经营管理，完善财会管理，提高生产技术和产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品质量；组织会员举办和参加各种对内对外展销会、交易会，组织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会员出国、出境考察访问，帮助会员开拓国内、国际市场；增进与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世界各国工商社团及工商经济界人士的联系和友谊，促进经济、技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术和贸易合作；承办政府和有关部门的委托事项。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二、部门决算单位构成。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新疆乌鲁木齐市沙依巴克区工商业联合会2017年部门决算报表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编制范围的单位共计1个，为行政单位。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纳入新疆乌鲁木齐市沙依巴克区工商业联合会2017年部门决算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编制范围的单位名单见下表：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8379" w:type="dxa"/>
        <w:tblInd w:w="93" w:type="dxa"/>
        <w:tblLook w:val="0004A0" w:firstRow="1" w:lastRow="0" w:firstColumn="1" w:lastColumn="0" w:noHBand="0" w:noVBand="1"/>
        <w:tblLayout w:type="fixed"/>
      </w:tblPr>
      <w:tblGrid>
        <w:gridCol w:w="2425"/>
        <w:gridCol w:w="3435"/>
        <w:gridCol w:w="25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499"/>
          <w:hidden w:val="0"/>
        </w:trPr>
        <w:tc>
          <w:tcPr>
            <w:tcW w:type="dxa" w:w="242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343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单位名称</w:t>
            </w:r>
          </w:p>
        </w:tc>
        <w:tc>
          <w:tcPr>
            <w:tcW w:type="dxa" w:w="2519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备注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99"/>
          <w:hidden w:val="0"/>
        </w:trPr>
        <w:tc>
          <w:tcPr>
            <w:tcW w:type="dxa" w:w="242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</w:t>
            </w:r>
          </w:p>
        </w:tc>
        <w:tc>
          <w:tcPr>
            <w:tcW w:type="dxa" w:w="34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新疆乌鲁木齐市沙依巴克区工</w:t>
            </w:r>
            <w:r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商业联合会（本级）</w:t>
            </w:r>
          </w:p>
        </w:tc>
        <w:tc>
          <w:tcPr>
            <w:tcW w:type="dxa" w:w="251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99"/>
          <w:hidden w:val="0"/>
        </w:trPr>
        <w:tc>
          <w:tcPr>
            <w:tcW w:type="dxa" w:w="242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43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99"/>
          <w:hidden w:val="0"/>
        </w:trPr>
        <w:tc>
          <w:tcPr>
            <w:tcW w:type="dxa" w:w="242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4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99"/>
          <w:hidden w:val="0"/>
        </w:trPr>
        <w:tc>
          <w:tcPr>
            <w:tcW w:type="dxa" w:w="242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343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251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left="0" w:firstLine="0"/>
              <w:rPr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left="0" w:firstLine="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第二部分部门决算情况说明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left="0" w:firstLine="549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一、部门收支总体情况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（一）部门收入支出决算总体情况说明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2017年度收入597054.51元，与上年相比，增加160557.29元，增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长36.78%，增长变化主要原因是：补交养老金职业年金。支出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590834.69元，与上年相比，增加152295.24元，增长34.73%，增长变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化主要原因是：补交养老金职业年金。结余8688.62元，与上年相比，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增加6219.82元，增长251.94%。增长变化主要原因是：秘书长退休。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与预算收入512788元相比，增加84266.51元，增长16.43%，增加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原因：补交养老金职业年金。与预算支出相比，增加78046.69元，增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长15.22%，增加原因：补交养老金职业年金。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（二）部门收入总体情况说明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本年收入合计597054.51元，其中：财政拨款收入596788.66元，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占99.96%；上级补助收入0元，占0%；事业收入0元，占0%；经营收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入0元，占0%；附属单位缴款0元，占0%；其他收入265.85元，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占0.04%。增长变化的主要原因是：利息收入增加。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与预算财政拨款收入512788元相比，增加84000.66元，增长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16.38%，增加原因：补交养老金职业年金。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（三）部门支出总体情况说明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本年支出合计590834.69元，其中：基本支出580214.69元，占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98.2%；项目支出10620元，占1.8%；上缴上级支出0元，占0%；经营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支出0元，占0%；对附属单位补助支出0元，占0%。增加的主要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原因是：补交养老金职业年金。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与基本支出预算512788元相比，增加67426.69元，增长13.15%，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增加原因：补交养老金职业年金。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二、部门财政拨款收支情况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（一）财政拨款收支总体情况说明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2017年度财政拨款收入596788.66元，与上年相比，增加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160573.86元，增长36.81%。增减变化的主要原因是：补交养老金职业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年金。财政拨款支出590568.84元，与上年相比，增加152311.81元，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增长34.75%。其中：基本支出579948.84元，项目支出10620元。增长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变化的主要原因是：补交养老金职业年金。财政拨款结转结余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8688.62元，与上年相比，增加6219.82元，增长251.94%。增长变化的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主要原因是：秘书长退休。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与预算收入512788元相比，增加84000.66元，增长16.38%，增加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原因：补交养老金职业年金。与预算支出相比，增加77680.84元，增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长15.15%，增加原因：补交养老金职业年金。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（二）一般公共预算支出决算情况说明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2017年度一般公共预算财政拨款支出590568.84元。与上年相比，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增加152311.81元，增长34.75%。增长变化的主要原因是：补交养老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金职业年金。其中：按功能分类科目，一般公共服务支出430480.68元，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社会保障和就业支出160088.16元。按经济分类科目，工资福利支出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489432.69元，商品和服务支出65082.15元，对个人和家庭的补助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支出31204元，其他资本性支出4850元。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与预算相比一般公共服务支出减少19234.47元，降低4.27 %，降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低原因：人员减少，社会保障和就业支出增加97281.16元，增长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154.89%，增加原因：补交养老金职业年金。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（三）政府性基金预算收支决算情况说明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2017年度政府性基金预算财政拨款收入0元，与上年相比，增加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0元，增长%。增长变化的主要原因是：无。政府性基金预算财政拨款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支出0元，与上年相比，增加0元，增长0%。增长变化的主要原因是：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与预算相比情况：本单位无此项预算收入。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（四）政府性基金预算支出决算情况说明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2017年度政府性基金预算支出0元。与上年相比，增加0元，增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长0%。增长变化的主要原因是：无。其中：按功能分类科目，支出0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元，支出0元。按经济分类科目，支出0元，支出0元。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与预算相比情况：本单位无此项预算支出。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三、部门结转结余情况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年末结转结余8688.62元。与上年相比，增加6219.82元，增长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251.94%。其中财政拨款结转结余8688.62元。与上年相比，增加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6219.82元，增长251.94%。增长变化的主要原因是：秘书长退休。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四、一般公共预算“三公”经费支出情况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2017年度一般公共预算“三公”经费支出决算19794元，比上年减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少156元，降低0.78%，减少原因是：维修费减少。其中，因公出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国（境）费支出0元，占0%，比上年增加0元，增长0%，增加原因是：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无；公务用车购置及运行维护费支出19794元，占100%，比上年减少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156元，降低0.78%，减少原因是：维修费减少；公务接待费支出0元，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占0%，比上年增加0元，增长0%，增加原因是：无。具体情况如下：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因公出国（境）费支出0元。新疆乌鲁木齐市沙依巴克区工商业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联合会单位全年使用一般公共预算财政拨款安排的出国（境）团组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0个，累计0人次。开支内容包括：无。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公务用车购置及运行维护费19794元，其中，公务用车购置0元，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公务用车运行维护费19794元。主要用于公务用车维修费与燃油费等。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2017年，新疆乌鲁木齐市沙依巴克区工商业联合会单位一般公共财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政拨款安排的公务用车购置量0辆，保有量为1辆。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公务接待费0元。具体是：国内公务接待支出0元。新疆乌鲁木齐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市沙依巴克区工商业联合会单位国内公务接待0批次，0人次。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与预算19950元相比，减少156元，降低0.78%，减少原因：车辆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维修费减少。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五、机关运行经费支出情况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2017年度新疆乌鲁木齐市沙依巴克区工商业联合会单位机关运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行经费支出59312.15元，比上年增加2331.37元，增长4.09%，主要原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因是：办公费增加。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六、政府采购情况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新疆乌鲁木齐市沙依巴克区工商业联合会单位政府采购计划0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元，其中：政府采购货物支出0元、政府采购工程支出0元、政府采购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服务支出0元；实际采购0元，其中：政府采购货物支出0元、政府采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购工程支出0元、政府采购服务支出0元。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七、其他重要事项的情况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（一）国有资产占用情况说明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截至2017年12月31日，资产总计203790.59元，其中：流动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资产62316.09元，固定资产141474.5元，其中：房屋0（平方米），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价值0元，共有车辆1辆，价值103500元，其中：部级领导干部用车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0辆、一般公务用车1辆、一般执法执勤用车0辆、特种专业技术用车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0辆、其他用车0辆（其他用车主要是：无）；单位价值50万元以上通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用设备0台（套）、单位价值100万元以上专用设备0台（套），其他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固定资产价值37974.5元。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（二）国有资产收益征缴情况说明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截至2017年12月31日，新疆乌鲁木齐市沙依巴克区工商业联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合会单位资产有偿使用收入合计0元，资产处置收入合计0元。其中：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已缴国库0元，已缴财政专户0元，应缴未缴0元，单位留用0元。                     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（三）部门项目支出情况和项目绩效评价情况说明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2017年度，本部门单位实行绩效管理的项目1个，涉及预算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10620元，项目支出决算10620元。年末本部门单位民生项目和重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点支出项目的绩效评价开展情况及结果：绩效情况见附件。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八、《基本建设类项目收入支出决算表》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561" w:righ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十二、《财政专户管理资金收入支出决算表》,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561" w:righ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十八、《政府性基金预算财政拨款收入支出决算表》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十九、《政府性基金预算财政拨款支出决算明细表》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二十、《政府性基金预算财政拨款基本支出决算明细表》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二十一、《政府性基金预算财政拨款项目支出决算明细表》。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二十四、《国有资产收益征缴情况表》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二十九、《政府采购情况表》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以上报表为空表，原因是没有该项收支。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               </w:t>
      </w: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第三部分专业名词解释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财政拨款收入：指同级财政当年拨付的资金。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上级补助收入：指事业单位从主管部门和上级单位取得的非财政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补助收入。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事业收入：指事业单位开展专业业务活动及其辅助活动所取得的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经营收入：指事业单位在专业业务活动及其辅助活动之外开展非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独立核算经营活动取得的收入。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附属单位缴款：指事业单位附属的独立核算单位按有关规定上缴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的收入。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其他收入：指除上述“财政拨款收入”、“事业收入”、“经营收入”、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“附属单位缴款”等之外取得的收入。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用事业基金弥补收支差额：指事业单位在当年的“财政拨款收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入”、“财政拨款结转和结余资金”、“事业收入”、“事业单位经营收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入”、“其他收入”不足以安排当年支出的情况下，使用以前年度积累的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事业基金（即事业单位当年收支相抵后按国家规定提取、用于弥补以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后年度收支差额的基金）弥补本年度收支缺口的资金。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上年结转和结余：指以前年度支出预算因客观条件变化未执行完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毕、结转到本年度按有关规定继续使用的资金，既包括财政拨款结转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和结余，也包括事业收入、经营收入、其他收入的结转和结余。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结余分配：反映单位当年结余的分配情况。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年末结转和结余：指本年度或以前年度预算安排、因客观条件发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生变化无法按原计划实施，需要延迟到以后年度按有关规定继续使用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的资金，既包括财政拨款结转和结余，也包括事业收入、经营收入、其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他收入的结转和结余。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基本支出：指为保障机构正常运转、完成日常工作任务而发生的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人员支出和公用支出。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项目支出：指在基本支出之外为完成特定行政任务和事业发展目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标所发生的支出。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经营支出：指事业单位在专业业务活动及其辅助活动之外开展非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独立核算经营活动发生的支出。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对附属单位补助支出：指事业单位发生的用非财政预算资金对附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属单位的补助支出。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“三公”经费：指用一般公共预算财政拨款安排的因公出国（境）费、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公务用车购置及运行费和公务接待费。其中，因公出国（境）费反映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单位公务出国（境）的住宿费、旅费、伙食补助费、杂费、培训费等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支出；公务用车购置及运行费反映单位公务用车购置费及租用费、燃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料费、维修费、过路过桥费、保险费、安全奖励费用等支出；公务接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待费反映单位按规定开支的各类公务接待（含外宾接待）支出。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机关运行经费：为保障行政单位（含参照公务员法管理的事业单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位）运行用于购买货物和服务的各项资金，包括办公及印刷费、邮电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费、差旅费、会议费、福利费、日常维修费、专用材料及一般设备购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置费、办公用房水电费、办公用房取暖费、办公用房物业管理费、公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务用车运行维护费以及其他费用。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本单位支出功能分类说明。2012801款是指民主党派及工商联事务行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政运行。2012899款是指其他民主党派及工商联事务支出。2080505款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是指机关事业单位基本养老保险缴费支出。2080506款是指机关事业</w:t>
      </w: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单位职业年金缴费支出。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 xml:space="preserve">    其他有关说明内容：无。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2249"/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第四部分部门决算报表（见附表）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一、报表封面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二、《收入支出决算总表》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三、《收入决算表》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四、《支出决算表》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五、《收入支出决算表》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六、《项目收入支出决算表》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七、《行政事业类项目收入支出决算表》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八、《基本建设类项目收入支出决算表》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九、《支出决算明细表》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十、《基本支出决算明细表》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十一、《项目支出决算明细表》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十二、《财政专户管理资金收入支出决算表》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十三、《财政拨款收入支出决算总表》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十四、《一般公共预算财政拨款收入支出决算表》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十五、《一般公共预算财政拨款支出决算明细表》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十六、《一般公共预算财政拨款基本支出决算明细表》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十七、《一般公共预算财政拨款项目支出决算明细表》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十八、《政府性基金预算财政拨款收入支出决算表》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十九、《政府性基金预算财政拨款支出决算明细表》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二十、《政府性基金预算财政拨款基本支出决算明细表》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二十一、《政府性基金预算财政拨款项目支出决算明细表》。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二十二、《资产负债简表》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二十三、《资产情况表》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二十四、《国有资产收益征缴情况表》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二十五、《基本数字表》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二十六、《机构人员情况表》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二十七、《非税收入征缴情况表》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二十八、《部门决算相关信息统计表》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二十九、《政府采购情况表》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left="0" w:firstLine="560"/>
        <w:rPr>
          <w:color w:val="auto"/>
          <w:position w:val="0"/>
          <w:sz w:val="28"/>
          <w:szCs w:val="28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三十、《2017年度一般公共预算“三公”经费支出情况表》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webSettings" Target="webSetting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styles" Target="styles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微软中国</Company>
  <DocSecurity>0</DocSecurity>
  <HyperlinksChanged>false</HyperlinksChanged>
  <Lines>47</Lines>
  <LinksUpToDate>false</LinksUpToDate>
  <Pages>14</Pages>
  <Paragraphs>13</Paragraphs>
  <Words>994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:creator>黄璐</dc:creator>
  <dcterms:modified xsi:type="dcterms:W3CDTF">2018-05-15T04:10:00Z</dcterms:modified>
  <revision>3</revision>
</coreProperties>
</file>